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47B0" w14:textId="77777777" w:rsidR="009E1309" w:rsidRDefault="005F5726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Policy Clarification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</w:p>
    <w:p w14:paraId="0769BDD8" w14:textId="5EA4F9FA" w:rsidR="00593AE5" w:rsidRDefault="00FB6B5A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Medical Assistance – Long-Term Care - All</w:t>
      </w:r>
    </w:p>
    <w:p w14:paraId="11F2553A" w14:textId="5B2D246C" w:rsidR="00FB6B5A" w:rsidRDefault="00FB6B5A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PMN-21821-440</w:t>
      </w:r>
    </w:p>
    <w:p w14:paraId="6D890D94" w14:textId="77777777" w:rsidR="00FB6B5A" w:rsidRDefault="00FB6B5A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14:paraId="498B86ED" w14:textId="6ECD215A" w:rsidR="007358AF" w:rsidRPr="003A1705" w:rsidRDefault="004C0831" w:rsidP="00FB6B5A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3C63D0">
        <w:rPr>
          <w:rFonts w:ascii="Arial" w:eastAsia="Times New Roman" w:hAnsi="Arial" w:cs="Arial"/>
          <w:b/>
          <w:bCs/>
          <w:sz w:val="36"/>
          <w:szCs w:val="36"/>
        </w:rPr>
        <w:br/>
      </w:r>
      <w:r w:rsidR="007358AF" w:rsidRPr="003A1705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="0071259C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="006B7A8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371BD">
        <w:rPr>
          <w:rFonts w:ascii="Arial" w:eastAsia="Times New Roman" w:hAnsi="Arial" w:cs="Arial"/>
          <w:b/>
          <w:bCs/>
          <w:sz w:val="24"/>
          <w:szCs w:val="24"/>
        </w:rPr>
        <w:t>April 5, 2024</w:t>
      </w:r>
      <w:r w:rsidR="007358AF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397C9D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397C9D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6F6D85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6F6D85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6F6D85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7358AF" w:rsidRPr="003A1705">
        <w:rPr>
          <w:rFonts w:ascii="Arial" w:eastAsia="Times New Roman" w:hAnsi="Arial" w:cs="Arial"/>
          <w:b/>
          <w:bCs/>
          <w:sz w:val="24"/>
          <w:szCs w:val="24"/>
        </w:rPr>
        <w:t xml:space="preserve">Agency: </w:t>
      </w:r>
      <w:r w:rsidR="007D442E">
        <w:rPr>
          <w:rFonts w:ascii="Arial" w:eastAsia="Times New Roman" w:hAnsi="Arial" w:cs="Arial"/>
          <w:b/>
          <w:bCs/>
          <w:sz w:val="24"/>
          <w:szCs w:val="24"/>
        </w:rPr>
        <w:t xml:space="preserve"> CAOs</w:t>
      </w:r>
      <w:r w:rsidR="007358AF"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08C41874" w14:textId="77777777" w:rsidR="007358AF" w:rsidRPr="003A1705" w:rsidRDefault="007358AF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1E27294D" w14:textId="59205238" w:rsidR="00E345E1" w:rsidRDefault="007358AF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3A1705">
        <w:rPr>
          <w:rFonts w:ascii="Arial" w:eastAsia="Times New Roman" w:hAnsi="Arial" w:cs="Arial"/>
          <w:b/>
          <w:bCs/>
          <w:sz w:val="24"/>
          <w:szCs w:val="24"/>
        </w:rPr>
        <w:t>Subject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D27844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7D442E" w:rsidRPr="007D442E">
        <w:rPr>
          <w:rFonts w:ascii="Arial" w:eastAsia="Times New Roman" w:hAnsi="Arial" w:cs="Arial"/>
          <w:b/>
          <w:bCs/>
          <w:sz w:val="24"/>
          <w:szCs w:val="24"/>
        </w:rPr>
        <w:t>Applicant and Recipient Penalty Periods Original</w:t>
      </w:r>
    </w:p>
    <w:p w14:paraId="7C91300C" w14:textId="77777777" w:rsidR="007358AF" w:rsidRPr="003A1705" w:rsidRDefault="007358AF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8ED4926" w14:textId="7B354B62" w:rsidR="007358AF" w:rsidRDefault="007358AF" w:rsidP="00CA2218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5D37BA">
        <w:rPr>
          <w:rFonts w:ascii="Arial" w:hAnsi="Arial" w:cs="Arial"/>
          <w:b/>
          <w:sz w:val="24"/>
          <w:szCs w:val="24"/>
        </w:rPr>
        <w:t>Question</w:t>
      </w:r>
      <w:r w:rsidRPr="00CA2218">
        <w:rPr>
          <w:rFonts w:ascii="Arial" w:hAnsi="Arial" w:cs="Arial"/>
          <w:b/>
          <w:bCs/>
          <w:sz w:val="24"/>
          <w:szCs w:val="24"/>
        </w:rPr>
        <w:t>:</w:t>
      </w:r>
      <w:r w:rsidRPr="005D37B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B371BD">
        <w:rPr>
          <w:rFonts w:ascii="Arial" w:hAnsi="Arial" w:cs="Arial"/>
          <w:sz w:val="24"/>
          <w:szCs w:val="24"/>
        </w:rPr>
        <w:tab/>
      </w:r>
      <w:r w:rsidR="00B371BD" w:rsidRPr="007F7AD6">
        <w:rPr>
          <w:rFonts w:ascii="Arial" w:eastAsia="Times New Roman" w:hAnsi="Arial" w:cs="Arial"/>
          <w:b/>
          <w:sz w:val="24"/>
          <w:szCs w:val="24"/>
        </w:rPr>
        <w:t>What is the correct private pay rate to calculate the number of penalty period days for an applicant of Home and Community-Based Services (HCBS)</w:t>
      </w:r>
      <w:r w:rsidR="007F7AD6">
        <w:rPr>
          <w:rFonts w:ascii="Arial" w:eastAsia="Times New Roman" w:hAnsi="Arial" w:cs="Arial"/>
          <w:b/>
          <w:sz w:val="24"/>
          <w:szCs w:val="24"/>
        </w:rPr>
        <w:t>,</w:t>
      </w:r>
      <w:r w:rsidR="00B371BD" w:rsidRPr="007F7AD6">
        <w:rPr>
          <w:rFonts w:ascii="Arial" w:eastAsia="Times New Roman" w:hAnsi="Arial" w:cs="Arial"/>
          <w:b/>
          <w:sz w:val="24"/>
          <w:szCs w:val="24"/>
        </w:rPr>
        <w:t xml:space="preserve"> or LTC (Long</w:t>
      </w:r>
      <w:r w:rsidR="007F7AD6">
        <w:rPr>
          <w:rFonts w:ascii="Arial" w:eastAsia="Times New Roman" w:hAnsi="Arial" w:cs="Arial"/>
          <w:b/>
          <w:sz w:val="24"/>
          <w:szCs w:val="24"/>
        </w:rPr>
        <w:t>-</w:t>
      </w:r>
      <w:r w:rsidR="00B371BD" w:rsidRPr="007F7AD6">
        <w:rPr>
          <w:rFonts w:ascii="Arial" w:eastAsia="Times New Roman" w:hAnsi="Arial" w:cs="Arial"/>
          <w:b/>
          <w:sz w:val="24"/>
          <w:szCs w:val="24"/>
        </w:rPr>
        <w:t xml:space="preserve">Term Care) </w:t>
      </w:r>
      <w:r w:rsidR="00B371BD" w:rsidRPr="007F7AD6">
        <w:rPr>
          <w:rFonts w:ascii="Arial" w:eastAsia="Calibri" w:hAnsi="Arial" w:cs="Arial"/>
          <w:b/>
          <w:bCs/>
          <w:sz w:val="24"/>
          <w:szCs w:val="24"/>
        </w:rPr>
        <w:t>Medical Assistance (MA)</w:t>
      </w:r>
      <w:r w:rsidR="00B371BD" w:rsidRPr="007F7AD6">
        <w:rPr>
          <w:rFonts w:ascii="Arial" w:eastAsia="Calibri" w:hAnsi="Arial" w:cs="Arial"/>
          <w:sz w:val="24"/>
          <w:szCs w:val="24"/>
        </w:rPr>
        <w:t xml:space="preserve"> </w:t>
      </w:r>
      <w:r w:rsidR="00B371BD" w:rsidRPr="007F7AD6">
        <w:rPr>
          <w:rFonts w:ascii="Arial" w:eastAsia="Times New Roman" w:hAnsi="Arial" w:cs="Arial"/>
          <w:b/>
          <w:sz w:val="24"/>
          <w:szCs w:val="24"/>
        </w:rPr>
        <w:t>when authorization is processed in a different year than the application was received?</w:t>
      </w:r>
    </w:p>
    <w:p w14:paraId="020C1279" w14:textId="721C1C54" w:rsidR="007358AF" w:rsidRDefault="00FB6B5A" w:rsidP="007358A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sz w:val="24"/>
          <w:szCs w:val="24"/>
        </w:rPr>
        <w:pict w14:anchorId="063565B5">
          <v:rect id="_x0000_i1025" style="width:0;height:1.5pt" o:hralign="center" o:hrstd="t" o:hr="t" fillcolor="#a0a0a0" stroked="f"/>
        </w:pict>
      </w:r>
    </w:p>
    <w:tbl>
      <w:tblPr>
        <w:tblW w:w="1049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2"/>
        <w:gridCol w:w="5143"/>
        <w:gridCol w:w="5143"/>
        <w:gridCol w:w="4217"/>
      </w:tblGrid>
      <w:tr w:rsidR="007358AF" w:rsidRPr="005F5726" w14:paraId="1E9E9599" w14:textId="77777777" w:rsidTr="007A394F">
        <w:trPr>
          <w:tblCellSpacing w:w="15" w:type="dxa"/>
        </w:trPr>
        <w:tc>
          <w:tcPr>
            <w:tcW w:w="1297" w:type="pct"/>
            <w:vAlign w:val="center"/>
          </w:tcPr>
          <w:p w14:paraId="572EDAD7" w14:textId="0E4B329B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26B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Response By:  </w:t>
            </w:r>
            <w:r w:rsidR="00B371B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Division of Health Services</w:t>
            </w:r>
          </w:p>
        </w:tc>
        <w:tc>
          <w:tcPr>
            <w:tcW w:w="1301" w:type="pct"/>
            <w:vAlign w:val="center"/>
          </w:tcPr>
          <w:p w14:paraId="3B8E5734" w14:textId="21D4765A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</w:t>
            </w:r>
            <w:r w:rsidRPr="00C26B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Date: </w:t>
            </w:r>
            <w:r w:rsidR="00CA221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FB6B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June 26, 2024</w:t>
            </w:r>
          </w:p>
        </w:tc>
        <w:tc>
          <w:tcPr>
            <w:tcW w:w="1301" w:type="pct"/>
            <w:vAlign w:val="center"/>
          </w:tcPr>
          <w:p w14:paraId="4628552D" w14:textId="0E5E6AAB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1458681B" w14:textId="09F677BD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358AF" w:rsidRPr="005F5726" w14:paraId="6A588AB1" w14:textId="77777777" w:rsidTr="007358AF">
        <w:trPr>
          <w:tblCellSpacing w:w="15" w:type="dxa"/>
        </w:trPr>
        <w:tc>
          <w:tcPr>
            <w:tcW w:w="1297" w:type="pct"/>
          </w:tcPr>
          <w:p w14:paraId="40EFDDC8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</w:tcPr>
          <w:p w14:paraId="4D1C2370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  <w:vAlign w:val="center"/>
          </w:tcPr>
          <w:p w14:paraId="0E439368" w14:textId="5EB42B59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517AAD56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0597E2E0" w14:textId="56E08BB8" w:rsidR="00F20B45" w:rsidRPr="00801FA9" w:rsidRDefault="00F20B45" w:rsidP="00801F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0" w:name="_Hlk168999353"/>
      <w:r w:rsidRPr="00801FA9">
        <w:rPr>
          <w:rFonts w:ascii="Arial" w:eastAsia="Calibri" w:hAnsi="Arial" w:cs="Arial"/>
          <w:sz w:val="24"/>
          <w:szCs w:val="24"/>
        </w:rPr>
        <w:t xml:space="preserve">When an application for LTC or HCBS MA </w:t>
      </w:r>
      <w:r w:rsidR="00B4170B" w:rsidRPr="00801FA9">
        <w:rPr>
          <w:rFonts w:ascii="Arial" w:eastAsia="Calibri" w:hAnsi="Arial" w:cs="Arial"/>
          <w:sz w:val="24"/>
          <w:szCs w:val="24"/>
        </w:rPr>
        <w:t>results in</w:t>
      </w:r>
      <w:r w:rsidRPr="00801FA9">
        <w:rPr>
          <w:rFonts w:ascii="Arial" w:eastAsia="Calibri" w:hAnsi="Arial" w:cs="Arial"/>
          <w:sz w:val="24"/>
          <w:szCs w:val="24"/>
        </w:rPr>
        <w:t xml:space="preserve"> a 903Q penalty period Third Party Liability (TPL) being added to the case, the</w:t>
      </w:r>
      <w:r w:rsidR="00836D1F" w:rsidRPr="00801FA9">
        <w:rPr>
          <w:rFonts w:ascii="Arial" w:eastAsia="Calibri" w:hAnsi="Arial" w:cs="Arial"/>
          <w:sz w:val="24"/>
          <w:szCs w:val="24"/>
        </w:rPr>
        <w:t xml:space="preserve"> County Assistance Office</w:t>
      </w:r>
      <w:r w:rsidRPr="00801FA9">
        <w:rPr>
          <w:rFonts w:ascii="Arial" w:eastAsia="Calibri" w:hAnsi="Arial" w:cs="Arial"/>
          <w:sz w:val="24"/>
          <w:szCs w:val="24"/>
        </w:rPr>
        <w:t xml:space="preserve"> </w:t>
      </w:r>
      <w:r w:rsidR="00836D1F" w:rsidRPr="00801FA9">
        <w:rPr>
          <w:rFonts w:ascii="Arial" w:eastAsia="Calibri" w:hAnsi="Arial" w:cs="Arial"/>
          <w:sz w:val="24"/>
          <w:szCs w:val="24"/>
        </w:rPr>
        <w:t>(</w:t>
      </w:r>
      <w:r w:rsidRPr="00801FA9">
        <w:rPr>
          <w:rFonts w:ascii="Arial" w:eastAsia="Calibri" w:hAnsi="Arial" w:cs="Arial"/>
          <w:sz w:val="24"/>
          <w:szCs w:val="24"/>
        </w:rPr>
        <w:t>CAO</w:t>
      </w:r>
      <w:r w:rsidR="00836D1F" w:rsidRPr="00801FA9">
        <w:rPr>
          <w:rFonts w:ascii="Arial" w:eastAsia="Calibri" w:hAnsi="Arial" w:cs="Arial"/>
          <w:sz w:val="24"/>
          <w:szCs w:val="24"/>
        </w:rPr>
        <w:t>)</w:t>
      </w:r>
      <w:r w:rsidRPr="00801FA9">
        <w:rPr>
          <w:rFonts w:ascii="Arial" w:eastAsia="Calibri" w:hAnsi="Arial" w:cs="Arial"/>
          <w:sz w:val="24"/>
          <w:szCs w:val="24"/>
        </w:rPr>
        <w:t xml:space="preserve"> must take additional action if the case in </w:t>
      </w:r>
      <w:r w:rsidR="00836D1F" w:rsidRPr="00801FA9">
        <w:rPr>
          <w:rFonts w:ascii="Arial" w:eastAsia="Calibri" w:hAnsi="Arial" w:cs="Arial"/>
          <w:sz w:val="24"/>
          <w:szCs w:val="24"/>
        </w:rPr>
        <w:t>the Electronic Client Information System (</w:t>
      </w:r>
      <w:r w:rsidRPr="00801FA9">
        <w:rPr>
          <w:rFonts w:ascii="Arial" w:eastAsia="Calibri" w:hAnsi="Arial" w:cs="Arial"/>
          <w:sz w:val="24"/>
          <w:szCs w:val="24"/>
        </w:rPr>
        <w:t>eCIS</w:t>
      </w:r>
      <w:r w:rsidR="00836D1F" w:rsidRPr="00801FA9">
        <w:rPr>
          <w:rFonts w:ascii="Arial" w:eastAsia="Calibri" w:hAnsi="Arial" w:cs="Arial"/>
          <w:sz w:val="24"/>
          <w:szCs w:val="24"/>
        </w:rPr>
        <w:t>)</w:t>
      </w:r>
      <w:r w:rsidRPr="00801FA9">
        <w:rPr>
          <w:rFonts w:ascii="Arial" w:eastAsia="Calibri" w:hAnsi="Arial" w:cs="Arial"/>
          <w:sz w:val="24"/>
          <w:szCs w:val="24"/>
        </w:rPr>
        <w:t xml:space="preserve"> is authorized in a different year than the application was received. </w:t>
      </w:r>
    </w:p>
    <w:bookmarkEnd w:id="0"/>
    <w:p w14:paraId="2EE75CAE" w14:textId="77777777" w:rsidR="00F20B45" w:rsidRPr="00801FA9" w:rsidRDefault="00F20B45" w:rsidP="00801F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CDB5D9C" w14:textId="31BDB07A" w:rsidR="00F20B45" w:rsidRPr="00801FA9" w:rsidRDefault="00F20B45" w:rsidP="00801FA9">
      <w:pPr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801FA9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The length of the penalty period, also known as Period of Ineligibility (POI), is determined by dividing the total uncompensated value by the Average Daily Private Pay Rate. </w:t>
      </w:r>
      <w:r w:rsidR="001567B9" w:rsidRPr="00801FA9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Pr="00801FA9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The system will always apply the </w:t>
      </w:r>
      <w:r w:rsidR="006160BB" w:rsidRPr="00801FA9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Average Daily Private Pay Rate </w:t>
      </w:r>
      <w:r w:rsidRPr="00801FA9">
        <w:rPr>
          <w:rFonts w:ascii="Arial" w:eastAsia="Calibri" w:hAnsi="Arial" w:cs="Arial"/>
          <w:sz w:val="24"/>
          <w:szCs w:val="24"/>
          <w:shd w:val="clear" w:color="auto" w:fill="FFFFFF"/>
        </w:rPr>
        <w:t>in effect as of system processing date.</w:t>
      </w:r>
      <w:r w:rsidR="001567B9" w:rsidRPr="00801FA9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Pr="00801FA9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This calculation is incorrect for a POI when the application was not received in the same year as the processing date.</w:t>
      </w:r>
      <w:r w:rsidR="001567B9" w:rsidRPr="00801FA9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Pr="00801FA9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This is particularly important because the </w:t>
      </w:r>
      <w:r w:rsidR="006160BB" w:rsidRPr="00801FA9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Average Daily Private Pay Rate </w:t>
      </w:r>
      <w:r w:rsidRPr="00801FA9">
        <w:rPr>
          <w:rFonts w:ascii="Arial" w:eastAsia="Calibri" w:hAnsi="Arial" w:cs="Arial"/>
          <w:sz w:val="24"/>
          <w:szCs w:val="24"/>
          <w:shd w:val="clear" w:color="auto" w:fill="FFFFFF"/>
        </w:rPr>
        <w:t>has been decreasing over the past few years.</w:t>
      </w:r>
      <w:r w:rsidRPr="00801FA9">
        <w:rPr>
          <w:rFonts w:ascii="Arial" w:eastAsia="Calibri" w:hAnsi="Arial" w:cs="Arial"/>
          <w:sz w:val="24"/>
          <w:szCs w:val="24"/>
          <w:shd w:val="clear" w:color="auto" w:fill="FFFFFF"/>
        </w:rPr>
        <w:br/>
      </w:r>
    </w:p>
    <w:p w14:paraId="06A31589" w14:textId="77777777" w:rsidR="00F20B45" w:rsidRPr="00801FA9" w:rsidRDefault="00F20B45" w:rsidP="00801FA9">
      <w:pPr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801FA9">
        <w:rPr>
          <w:rFonts w:ascii="Arial" w:eastAsia="Calibri" w:hAnsi="Arial" w:cs="Arial"/>
          <w:b/>
          <w:bCs/>
          <w:sz w:val="24"/>
          <w:szCs w:val="24"/>
          <w:u w:val="single"/>
          <w:shd w:val="clear" w:color="auto" w:fill="FFFFFF"/>
        </w:rPr>
        <w:t>Applicant Penalties</w:t>
      </w:r>
      <w:r w:rsidRPr="00801FA9">
        <w:rPr>
          <w:rFonts w:ascii="Arial" w:eastAsia="Calibri" w:hAnsi="Arial" w:cs="Arial"/>
          <w:b/>
          <w:bCs/>
          <w:sz w:val="24"/>
          <w:szCs w:val="24"/>
          <w:shd w:val="clear" w:color="auto" w:fill="FFFFFF"/>
        </w:rPr>
        <w:t>:</w:t>
      </w:r>
      <w:r w:rsidRPr="00801FA9">
        <w:rPr>
          <w:rFonts w:ascii="Arial" w:eastAsia="Calibri" w:hAnsi="Arial" w:cs="Arial"/>
          <w:b/>
          <w:bCs/>
          <w:sz w:val="24"/>
          <w:szCs w:val="24"/>
          <w:shd w:val="clear" w:color="auto" w:fill="FFFFFF"/>
        </w:rPr>
        <w:br/>
        <w:t xml:space="preserve"> </w:t>
      </w:r>
    </w:p>
    <w:p w14:paraId="2C4EF05F" w14:textId="6ACF8286" w:rsidR="00F20B45" w:rsidRPr="00801FA9" w:rsidRDefault="00F20B45" w:rsidP="00801FA9">
      <w:pPr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801FA9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For any transfer of assets discovered </w:t>
      </w:r>
      <w:r w:rsidRPr="00801FA9">
        <w:rPr>
          <w:rFonts w:ascii="Arial" w:eastAsia="Calibri" w:hAnsi="Arial" w:cs="Arial"/>
          <w:b/>
          <w:bCs/>
          <w:sz w:val="24"/>
          <w:szCs w:val="24"/>
          <w:shd w:val="clear" w:color="auto" w:fill="FFFFFF"/>
        </w:rPr>
        <w:t>PRIOR</w:t>
      </w:r>
      <w:r w:rsidRPr="00801FA9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to case authorization in eCIS</w:t>
      </w:r>
      <w:r w:rsidR="001E0ADD" w:rsidRPr="00801FA9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Pr="00801FA9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the Average Daily Private Pay Rate in </w:t>
      </w:r>
      <w:r w:rsidRPr="00801FA9">
        <w:rPr>
          <w:rFonts w:ascii="Arial" w:eastAsia="Calibri" w:hAnsi="Arial" w:cs="Arial"/>
          <w:sz w:val="24"/>
          <w:szCs w:val="24"/>
          <w:u w:val="single"/>
          <w:shd w:val="clear" w:color="auto" w:fill="FFFFFF"/>
        </w:rPr>
        <w:t>effect at the time the application is received (application date)</w:t>
      </w:r>
      <w:r w:rsidR="001254AD" w:rsidRPr="00801FA9">
        <w:rPr>
          <w:rFonts w:ascii="Arial" w:eastAsia="Calibri" w:hAnsi="Arial" w:cs="Arial"/>
          <w:sz w:val="24"/>
          <w:szCs w:val="24"/>
          <w:u w:val="single"/>
          <w:shd w:val="clear" w:color="auto" w:fill="FFFFFF"/>
        </w:rPr>
        <w:t xml:space="preserve"> must be used</w:t>
      </w:r>
      <w:r w:rsidRPr="00801FA9">
        <w:rPr>
          <w:rFonts w:ascii="Arial" w:eastAsia="Calibri" w:hAnsi="Arial" w:cs="Arial"/>
          <w:sz w:val="24"/>
          <w:szCs w:val="24"/>
          <w:shd w:val="clear" w:color="auto" w:fill="FFFFFF"/>
        </w:rPr>
        <w:t>.</w:t>
      </w:r>
    </w:p>
    <w:p w14:paraId="6B6832DE" w14:textId="77777777" w:rsidR="00F20B45" w:rsidRPr="00801FA9" w:rsidRDefault="00F20B45" w:rsidP="00801FA9">
      <w:pPr>
        <w:pStyle w:val="ListParagraph"/>
        <w:spacing w:after="0" w:line="240" w:lineRule="auto"/>
        <w:ind w:left="1080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801FA9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</w:p>
    <w:p w14:paraId="17745DFF" w14:textId="77777777" w:rsidR="00F20B45" w:rsidRPr="00801FA9" w:rsidRDefault="00F20B45" w:rsidP="00801FA9">
      <w:pPr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801FA9">
        <w:rPr>
          <w:rFonts w:ascii="Arial" w:eastAsia="Calibri" w:hAnsi="Arial" w:cs="Arial"/>
          <w:sz w:val="24"/>
          <w:szCs w:val="24"/>
          <w:shd w:val="clear" w:color="auto" w:fill="FFFFFF"/>
        </w:rPr>
        <w:lastRenderedPageBreak/>
        <w:t xml:space="preserve">When the Average Daily Private Pay Rate is different for the application year and the processing year the CAO must: </w:t>
      </w:r>
    </w:p>
    <w:p w14:paraId="6646B01D" w14:textId="77777777" w:rsidR="00F20B45" w:rsidRPr="00801FA9" w:rsidRDefault="00F20B45" w:rsidP="00801FA9">
      <w:pPr>
        <w:pStyle w:val="ListParagraph"/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14:paraId="4E360C04" w14:textId="61844FC8" w:rsidR="00F20B45" w:rsidRPr="00801FA9" w:rsidRDefault="00F20B45" w:rsidP="00801FA9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801FA9">
        <w:rPr>
          <w:rFonts w:ascii="Arial" w:eastAsia="Calibri" w:hAnsi="Arial" w:cs="Arial"/>
          <w:sz w:val="24"/>
          <w:szCs w:val="24"/>
          <w:shd w:val="clear" w:color="auto" w:fill="FFFFFF"/>
        </w:rPr>
        <w:t>Manually calculate the POI using the Average Daily Private Pay Rate in effect when the application was received.</w:t>
      </w:r>
    </w:p>
    <w:p w14:paraId="0A77DB0F" w14:textId="77777777" w:rsidR="00F20B45" w:rsidRPr="00801FA9" w:rsidRDefault="00F20B45" w:rsidP="00801FA9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801FA9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Process the LTC or HCBS case but suppress the system generated notice. </w:t>
      </w:r>
      <w:r w:rsidRPr="00801FA9">
        <w:rPr>
          <w:rFonts w:ascii="Arial" w:eastAsia="Calibri" w:hAnsi="Arial" w:cs="Arial"/>
          <w:sz w:val="24"/>
          <w:szCs w:val="24"/>
          <w:shd w:val="clear" w:color="auto" w:fill="FFFFFF"/>
        </w:rPr>
        <w:br/>
      </w:r>
    </w:p>
    <w:p w14:paraId="331B8D9D" w14:textId="5141A641" w:rsidR="00F20B45" w:rsidRPr="00801FA9" w:rsidRDefault="00F20B45" w:rsidP="00801FA9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801FA9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Use the Stand Alone TPL screen to edit the POI 903Q to match the manually calculated days. </w:t>
      </w:r>
      <w:r w:rsidR="004D278B" w:rsidRPr="00801FA9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="003F6E8C" w:rsidRPr="00F20B45">
        <w:rPr>
          <w:rFonts w:ascii="Arial" w:eastAsia="Calibri" w:hAnsi="Arial" w:cs="Arial"/>
          <w:sz w:val="24"/>
          <w:szCs w:val="24"/>
          <w:shd w:val="clear" w:color="auto" w:fill="FFFFFF"/>
        </w:rPr>
        <w:t>(</w:t>
      </w:r>
      <w:r w:rsidR="003F6E8C" w:rsidRPr="003F6E8C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Please see </w:t>
      </w:r>
      <w:hyperlink r:id="rId8" w:history="1">
        <w:r w:rsidR="003F6E8C" w:rsidRPr="003F6E8C">
          <w:rPr>
            <w:rFonts w:ascii="Arial" w:hAnsi="Arial" w:cs="Arial"/>
            <w:color w:val="0000FF"/>
            <w:sz w:val="24"/>
            <w:szCs w:val="24"/>
            <w:u w:val="single"/>
          </w:rPr>
          <w:t>LTC Procedural Desk Guide</w:t>
        </w:r>
      </w:hyperlink>
      <w:r w:rsidR="003F6E8C" w:rsidRPr="003F6E8C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or </w:t>
      </w:r>
      <w:r w:rsidR="003F6E8C" w:rsidRPr="003F6E8C">
        <w:rPr>
          <w:rFonts w:ascii="Arial" w:eastAsia="Calibri" w:hAnsi="Arial" w:cs="Arial"/>
          <w:sz w:val="24"/>
          <w:szCs w:val="24"/>
          <w:shd w:val="clear" w:color="auto" w:fill="FFFFFF"/>
        </w:rPr>
        <w:br/>
      </w:r>
      <w:hyperlink r:id="rId9" w:history="1">
        <w:r w:rsidR="003F6E8C" w:rsidRPr="003F6E8C">
          <w:rPr>
            <w:rFonts w:ascii="Arial" w:hAnsi="Arial" w:cs="Arial"/>
            <w:color w:val="0000FF"/>
            <w:sz w:val="24"/>
            <w:szCs w:val="24"/>
            <w:u w:val="single"/>
          </w:rPr>
          <w:t>HCBS Procedural Desk Guide</w:t>
        </w:r>
      </w:hyperlink>
      <w:r w:rsidR="003F6E8C" w:rsidRPr="003F6E8C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for instructions.)</w:t>
      </w:r>
      <w:r w:rsidRPr="00801FA9">
        <w:rPr>
          <w:rFonts w:ascii="Arial" w:eastAsia="Calibri" w:hAnsi="Arial" w:cs="Arial"/>
          <w:sz w:val="24"/>
          <w:szCs w:val="24"/>
          <w:shd w:val="clear" w:color="auto" w:fill="FFFFFF"/>
        </w:rPr>
        <w:br/>
        <w:t xml:space="preserve"> </w:t>
      </w:r>
    </w:p>
    <w:p w14:paraId="43149E98" w14:textId="2C663F15" w:rsidR="00F20B45" w:rsidRPr="00801FA9" w:rsidRDefault="00F20B45" w:rsidP="00801FA9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801FA9">
        <w:rPr>
          <w:rFonts w:ascii="Arial" w:eastAsia="Calibri" w:hAnsi="Arial" w:cs="Arial"/>
          <w:sz w:val="24"/>
          <w:szCs w:val="24"/>
          <w:shd w:val="clear" w:color="auto" w:fill="FFFFFF"/>
        </w:rPr>
        <w:t>Issue Manual Notices to all parties using the manually calculated POI.</w:t>
      </w:r>
      <w:r w:rsidR="004F0996" w:rsidRPr="00801FA9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Pr="00801FA9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Language for the notice can be found in the eCIS Correspondence Text Search (985/J for LTC and 986/L for HCBS).  </w:t>
      </w:r>
      <w:r w:rsidRPr="00801FA9">
        <w:rPr>
          <w:rFonts w:ascii="Arial" w:eastAsia="Calibri" w:hAnsi="Arial" w:cs="Arial"/>
          <w:sz w:val="24"/>
          <w:szCs w:val="24"/>
          <w:shd w:val="clear" w:color="auto" w:fill="FFFFFF"/>
        </w:rPr>
        <w:br/>
      </w:r>
    </w:p>
    <w:p w14:paraId="09150FE7" w14:textId="77777777" w:rsidR="00F20B45" w:rsidRPr="00801FA9" w:rsidRDefault="00F20B45" w:rsidP="00801FA9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801FA9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Narrate the calculation and all case actions. </w:t>
      </w:r>
    </w:p>
    <w:p w14:paraId="080FCCDD" w14:textId="77777777" w:rsidR="00F20B45" w:rsidRPr="00801FA9" w:rsidRDefault="00F20B45" w:rsidP="00801FA9">
      <w:pPr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14:paraId="6132F9BF" w14:textId="77777777" w:rsidR="00F20B45" w:rsidRPr="00801FA9" w:rsidRDefault="00F20B45" w:rsidP="00801FA9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shd w:val="clear" w:color="auto" w:fill="FFFFFF"/>
        </w:rPr>
      </w:pPr>
      <w:r w:rsidRPr="00801FA9">
        <w:rPr>
          <w:rFonts w:ascii="Arial" w:eastAsia="Calibri" w:hAnsi="Arial" w:cs="Arial"/>
          <w:b/>
          <w:bCs/>
          <w:sz w:val="24"/>
          <w:szCs w:val="24"/>
          <w:u w:val="single"/>
          <w:shd w:val="clear" w:color="auto" w:fill="FFFFFF"/>
        </w:rPr>
        <w:t>Recipient Penalties</w:t>
      </w:r>
      <w:r w:rsidRPr="00801FA9">
        <w:rPr>
          <w:rFonts w:ascii="Arial" w:eastAsia="Calibri" w:hAnsi="Arial" w:cs="Arial"/>
          <w:b/>
          <w:bCs/>
          <w:sz w:val="24"/>
          <w:szCs w:val="24"/>
          <w:shd w:val="clear" w:color="auto" w:fill="FFFFFF"/>
        </w:rPr>
        <w:t xml:space="preserve">: </w:t>
      </w:r>
      <w:r w:rsidRPr="00801FA9">
        <w:rPr>
          <w:rFonts w:ascii="Arial" w:eastAsia="Calibri" w:hAnsi="Arial" w:cs="Arial"/>
          <w:b/>
          <w:bCs/>
          <w:sz w:val="24"/>
          <w:szCs w:val="24"/>
          <w:shd w:val="clear" w:color="auto" w:fill="FFFFFF"/>
        </w:rPr>
        <w:br/>
      </w:r>
    </w:p>
    <w:p w14:paraId="7EFB5ACE" w14:textId="1B6B7A6C" w:rsidR="00F20B45" w:rsidRPr="00801FA9" w:rsidRDefault="00F20B45" w:rsidP="00801FA9">
      <w:pPr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801FA9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For any transfer of assets discovered </w:t>
      </w:r>
      <w:r w:rsidRPr="00801FA9">
        <w:rPr>
          <w:rFonts w:ascii="Arial" w:eastAsia="Calibri" w:hAnsi="Arial" w:cs="Arial"/>
          <w:b/>
          <w:bCs/>
          <w:sz w:val="24"/>
          <w:szCs w:val="24"/>
          <w:shd w:val="clear" w:color="auto" w:fill="FFFFFF"/>
        </w:rPr>
        <w:t>AFTER</w:t>
      </w:r>
      <w:r w:rsidRPr="00801FA9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the case is authorized in eCIS and the recipient is active for LTC or HCBS MA</w:t>
      </w:r>
      <w:r w:rsidR="001E0ADD" w:rsidRPr="00801FA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01FA9">
        <w:rPr>
          <w:rFonts w:ascii="Arial" w:eastAsia="Calibri" w:hAnsi="Arial" w:cs="Arial"/>
          <w:sz w:val="24"/>
          <w:szCs w:val="24"/>
          <w:shd w:val="clear" w:color="auto" w:fill="FFFFFF"/>
        </w:rPr>
        <w:t>the Average Daily Private Pay Rate in effect at the time the period of ineligibility is determined (system process date)</w:t>
      </w:r>
      <w:r w:rsidR="001254AD" w:rsidRPr="00801FA9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must be used</w:t>
      </w:r>
      <w:r w:rsidRPr="00801FA9">
        <w:rPr>
          <w:rFonts w:ascii="Arial" w:eastAsia="Calibri" w:hAnsi="Arial" w:cs="Arial"/>
          <w:sz w:val="24"/>
          <w:szCs w:val="24"/>
          <w:shd w:val="clear" w:color="auto" w:fill="FFFFFF"/>
        </w:rPr>
        <w:t>.</w:t>
      </w:r>
      <w:r w:rsidRPr="00801FA9">
        <w:rPr>
          <w:rFonts w:ascii="Arial" w:hAnsi="Arial" w:cs="Arial"/>
          <w:sz w:val="24"/>
          <w:szCs w:val="24"/>
        </w:rPr>
        <w:t xml:space="preserve"> </w:t>
      </w:r>
    </w:p>
    <w:p w14:paraId="0BD78175" w14:textId="77777777" w:rsidR="00F20B45" w:rsidRPr="00801FA9" w:rsidRDefault="00F20B45" w:rsidP="00801FA9">
      <w:pPr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801FA9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The CAO should use the system calculated POI and issue system generated notices. </w:t>
      </w:r>
      <w:r w:rsidRPr="00801FA9">
        <w:rPr>
          <w:rFonts w:ascii="Arial" w:eastAsia="Calibri" w:hAnsi="Arial" w:cs="Arial"/>
          <w:sz w:val="24"/>
          <w:szCs w:val="24"/>
          <w:shd w:val="clear" w:color="auto" w:fill="FFFFFF"/>
        </w:rPr>
        <w:br/>
      </w:r>
    </w:p>
    <w:p w14:paraId="658E1947" w14:textId="698ED2F5" w:rsidR="00F20B45" w:rsidRPr="00801FA9" w:rsidRDefault="00F20B45" w:rsidP="00801FA9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shd w:val="clear" w:color="auto" w:fill="FFFFFF"/>
        </w:rPr>
      </w:pPr>
      <w:r w:rsidRPr="00801FA9">
        <w:rPr>
          <w:rFonts w:ascii="Arial" w:eastAsia="Calibri" w:hAnsi="Arial" w:cs="Arial"/>
          <w:b/>
          <w:bCs/>
          <w:sz w:val="24"/>
          <w:szCs w:val="24"/>
          <w:shd w:val="clear" w:color="auto" w:fill="FFFFFF"/>
        </w:rPr>
        <w:t xml:space="preserve">NOTE: </w:t>
      </w:r>
      <w:r w:rsidR="001567B9" w:rsidRPr="00801FA9">
        <w:rPr>
          <w:rFonts w:ascii="Arial" w:eastAsia="Calibri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801FA9">
        <w:rPr>
          <w:rFonts w:ascii="Arial" w:eastAsia="Calibri" w:hAnsi="Arial" w:cs="Arial"/>
          <w:b/>
          <w:bCs/>
          <w:sz w:val="24"/>
          <w:szCs w:val="24"/>
          <w:shd w:val="clear" w:color="auto" w:fill="FFFFFF"/>
        </w:rPr>
        <w:t xml:space="preserve">The year(s) the transfer of assets occurred has no effect on the Average Daily Private Pay Rate used to determine the POI. </w:t>
      </w:r>
      <w:r w:rsidRPr="00801FA9">
        <w:rPr>
          <w:rFonts w:ascii="Arial" w:eastAsia="Calibri" w:hAnsi="Arial" w:cs="Arial"/>
          <w:b/>
          <w:bCs/>
          <w:sz w:val="24"/>
          <w:szCs w:val="24"/>
          <w:shd w:val="clear" w:color="auto" w:fill="FFFFFF"/>
        </w:rPr>
        <w:br/>
      </w:r>
    </w:p>
    <w:p w14:paraId="44DDD47D" w14:textId="635D3113" w:rsidR="005F5726" w:rsidRPr="00801FA9" w:rsidRDefault="00F20B45" w:rsidP="00801FA9">
      <w:pPr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801FA9">
        <w:rPr>
          <w:rFonts w:ascii="Arial" w:eastAsia="Calibri" w:hAnsi="Arial" w:cs="Arial"/>
          <w:sz w:val="24"/>
          <w:szCs w:val="24"/>
          <w:shd w:val="clear" w:color="auto" w:fill="FFFFFF"/>
        </w:rPr>
        <w:t>A Daily Status will be issued once the LTC</w:t>
      </w:r>
      <w:r w:rsidR="00B81BD5" w:rsidRPr="00801FA9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Pr="00801FA9">
        <w:rPr>
          <w:rFonts w:ascii="Arial" w:eastAsia="Calibri" w:hAnsi="Arial" w:cs="Arial"/>
          <w:sz w:val="24"/>
          <w:szCs w:val="24"/>
          <w:shd w:val="clear" w:color="auto" w:fill="FFFFFF"/>
        </w:rPr>
        <w:t>H</w:t>
      </w:r>
      <w:r w:rsidR="00B81BD5" w:rsidRPr="00801FA9">
        <w:rPr>
          <w:rFonts w:ascii="Arial" w:eastAsia="Calibri" w:hAnsi="Arial" w:cs="Arial"/>
          <w:sz w:val="24"/>
          <w:szCs w:val="24"/>
          <w:shd w:val="clear" w:color="auto" w:fill="FFFFFF"/>
        </w:rPr>
        <w:t>andbook</w:t>
      </w:r>
      <w:r w:rsidRPr="00801FA9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is updated to reflect that the Average Daily Private Pay Rate in effect at the time the LTC or HCBS application was received must be used to determine the POI. </w:t>
      </w:r>
    </w:p>
    <w:sectPr w:rsidR="005F5726" w:rsidRPr="00801FA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4ADAF" w14:textId="77777777" w:rsidR="00865278" w:rsidRDefault="00865278" w:rsidP="00E30ECE">
      <w:pPr>
        <w:spacing w:after="0" w:line="240" w:lineRule="auto"/>
      </w:pPr>
      <w:r>
        <w:separator/>
      </w:r>
    </w:p>
  </w:endnote>
  <w:endnote w:type="continuationSeparator" w:id="0">
    <w:p w14:paraId="10051B10" w14:textId="77777777" w:rsidR="00865278" w:rsidRDefault="00865278" w:rsidP="00E3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2514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0E875F" w14:textId="77777777" w:rsidR="00E30ECE" w:rsidRDefault="00E30E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B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6C1A76" w14:textId="77777777" w:rsidR="00E30ECE" w:rsidRDefault="00E30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C5CC2" w14:textId="77777777" w:rsidR="00865278" w:rsidRDefault="00865278" w:rsidP="00E30ECE">
      <w:pPr>
        <w:spacing w:after="0" w:line="240" w:lineRule="auto"/>
      </w:pPr>
      <w:r>
        <w:separator/>
      </w:r>
    </w:p>
  </w:footnote>
  <w:footnote w:type="continuationSeparator" w:id="0">
    <w:p w14:paraId="3F220A03" w14:textId="77777777" w:rsidR="00865278" w:rsidRDefault="00865278" w:rsidP="00E3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55B4"/>
    <w:multiLevelType w:val="hybridMultilevel"/>
    <w:tmpl w:val="2700967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1DBC60DB"/>
    <w:multiLevelType w:val="hybridMultilevel"/>
    <w:tmpl w:val="0B26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174F6"/>
    <w:multiLevelType w:val="hybridMultilevel"/>
    <w:tmpl w:val="C3BEE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71C2C"/>
    <w:multiLevelType w:val="multilevel"/>
    <w:tmpl w:val="E74C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EC2DBA"/>
    <w:multiLevelType w:val="hybridMultilevel"/>
    <w:tmpl w:val="73FE3A8C"/>
    <w:lvl w:ilvl="0" w:tplc="7EB8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A04C3"/>
    <w:multiLevelType w:val="hybridMultilevel"/>
    <w:tmpl w:val="E606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C3332"/>
    <w:multiLevelType w:val="hybridMultilevel"/>
    <w:tmpl w:val="6432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55361"/>
    <w:multiLevelType w:val="multilevel"/>
    <w:tmpl w:val="E97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C17E27"/>
    <w:multiLevelType w:val="hybridMultilevel"/>
    <w:tmpl w:val="FDDE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12B7D"/>
    <w:multiLevelType w:val="hybridMultilevel"/>
    <w:tmpl w:val="D418318E"/>
    <w:lvl w:ilvl="0" w:tplc="B238A51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038736">
    <w:abstractNumId w:val="4"/>
  </w:num>
  <w:num w:numId="2" w16cid:durableId="1463769994">
    <w:abstractNumId w:val="7"/>
  </w:num>
  <w:num w:numId="3" w16cid:durableId="372005140">
    <w:abstractNumId w:val="3"/>
  </w:num>
  <w:num w:numId="4" w16cid:durableId="1453136664">
    <w:abstractNumId w:val="1"/>
  </w:num>
  <w:num w:numId="5" w16cid:durableId="834031179">
    <w:abstractNumId w:val="5"/>
  </w:num>
  <w:num w:numId="6" w16cid:durableId="482115181">
    <w:abstractNumId w:val="6"/>
  </w:num>
  <w:num w:numId="7" w16cid:durableId="526986159">
    <w:abstractNumId w:val="0"/>
  </w:num>
  <w:num w:numId="8" w16cid:durableId="1736976864">
    <w:abstractNumId w:val="8"/>
  </w:num>
  <w:num w:numId="9" w16cid:durableId="1728263305">
    <w:abstractNumId w:val="9"/>
  </w:num>
  <w:num w:numId="10" w16cid:durableId="1248227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1"/>
    <w:rsid w:val="00006A06"/>
    <w:rsid w:val="00022356"/>
    <w:rsid w:val="000558BF"/>
    <w:rsid w:val="000653A9"/>
    <w:rsid w:val="0009524A"/>
    <w:rsid w:val="000A5A70"/>
    <w:rsid w:val="000D1A66"/>
    <w:rsid w:val="000E14C9"/>
    <w:rsid w:val="00110EB2"/>
    <w:rsid w:val="001155BB"/>
    <w:rsid w:val="001211B4"/>
    <w:rsid w:val="001254AD"/>
    <w:rsid w:val="001477E3"/>
    <w:rsid w:val="001567B9"/>
    <w:rsid w:val="00173E4D"/>
    <w:rsid w:val="001878EC"/>
    <w:rsid w:val="001B11B5"/>
    <w:rsid w:val="001C6766"/>
    <w:rsid w:val="001C73F0"/>
    <w:rsid w:val="001D3930"/>
    <w:rsid w:val="001D6FA8"/>
    <w:rsid w:val="001E0ADD"/>
    <w:rsid w:val="001E41B7"/>
    <w:rsid w:val="00201779"/>
    <w:rsid w:val="0024051B"/>
    <w:rsid w:val="0025247A"/>
    <w:rsid w:val="002A23BE"/>
    <w:rsid w:val="002C2B97"/>
    <w:rsid w:val="002E2400"/>
    <w:rsid w:val="002F402C"/>
    <w:rsid w:val="003006CF"/>
    <w:rsid w:val="003050D0"/>
    <w:rsid w:val="003066C8"/>
    <w:rsid w:val="00313BD5"/>
    <w:rsid w:val="00314815"/>
    <w:rsid w:val="00335200"/>
    <w:rsid w:val="003364A2"/>
    <w:rsid w:val="00340551"/>
    <w:rsid w:val="00353164"/>
    <w:rsid w:val="00363BD5"/>
    <w:rsid w:val="00370C8B"/>
    <w:rsid w:val="00372B62"/>
    <w:rsid w:val="00377C07"/>
    <w:rsid w:val="003835C4"/>
    <w:rsid w:val="00397C9D"/>
    <w:rsid w:val="003A53CB"/>
    <w:rsid w:val="003B62FA"/>
    <w:rsid w:val="003D478C"/>
    <w:rsid w:val="003E2B82"/>
    <w:rsid w:val="003F5AE2"/>
    <w:rsid w:val="003F6E8C"/>
    <w:rsid w:val="00400B4F"/>
    <w:rsid w:val="00415639"/>
    <w:rsid w:val="0042371E"/>
    <w:rsid w:val="00424DF5"/>
    <w:rsid w:val="00446A5D"/>
    <w:rsid w:val="004476DE"/>
    <w:rsid w:val="004518AF"/>
    <w:rsid w:val="00456ED0"/>
    <w:rsid w:val="004606E7"/>
    <w:rsid w:val="0047548C"/>
    <w:rsid w:val="004A2097"/>
    <w:rsid w:val="004B0277"/>
    <w:rsid w:val="004C0831"/>
    <w:rsid w:val="004D278B"/>
    <w:rsid w:val="004E0A00"/>
    <w:rsid w:val="004E5F29"/>
    <w:rsid w:val="004F0996"/>
    <w:rsid w:val="00526D5B"/>
    <w:rsid w:val="00527A30"/>
    <w:rsid w:val="00552C29"/>
    <w:rsid w:val="00555154"/>
    <w:rsid w:val="005642DE"/>
    <w:rsid w:val="0057127A"/>
    <w:rsid w:val="00571660"/>
    <w:rsid w:val="00593AE5"/>
    <w:rsid w:val="005B08F2"/>
    <w:rsid w:val="005C0BAC"/>
    <w:rsid w:val="005D6149"/>
    <w:rsid w:val="005E485C"/>
    <w:rsid w:val="005F5726"/>
    <w:rsid w:val="00602FC7"/>
    <w:rsid w:val="006043C4"/>
    <w:rsid w:val="006160BB"/>
    <w:rsid w:val="00623591"/>
    <w:rsid w:val="006254D8"/>
    <w:rsid w:val="006327EF"/>
    <w:rsid w:val="00642496"/>
    <w:rsid w:val="00672765"/>
    <w:rsid w:val="00674303"/>
    <w:rsid w:val="00684B2A"/>
    <w:rsid w:val="00685DC4"/>
    <w:rsid w:val="006B04FF"/>
    <w:rsid w:val="006B38C2"/>
    <w:rsid w:val="006B7A81"/>
    <w:rsid w:val="006C5E75"/>
    <w:rsid w:val="006F1020"/>
    <w:rsid w:val="006F6D85"/>
    <w:rsid w:val="0071259C"/>
    <w:rsid w:val="007128B2"/>
    <w:rsid w:val="007168C1"/>
    <w:rsid w:val="007358AF"/>
    <w:rsid w:val="0074525D"/>
    <w:rsid w:val="00750167"/>
    <w:rsid w:val="0076724D"/>
    <w:rsid w:val="00777DED"/>
    <w:rsid w:val="007B77B5"/>
    <w:rsid w:val="007D442E"/>
    <w:rsid w:val="007F7AD6"/>
    <w:rsid w:val="00801FA9"/>
    <w:rsid w:val="00807BCE"/>
    <w:rsid w:val="008354F8"/>
    <w:rsid w:val="00836D1F"/>
    <w:rsid w:val="008375D9"/>
    <w:rsid w:val="00851B46"/>
    <w:rsid w:val="0085354A"/>
    <w:rsid w:val="00863DD0"/>
    <w:rsid w:val="00865278"/>
    <w:rsid w:val="00866FFF"/>
    <w:rsid w:val="008743E0"/>
    <w:rsid w:val="0088439A"/>
    <w:rsid w:val="00886594"/>
    <w:rsid w:val="008D0B09"/>
    <w:rsid w:val="008D2866"/>
    <w:rsid w:val="008D3B24"/>
    <w:rsid w:val="008F1E1A"/>
    <w:rsid w:val="008F4ED0"/>
    <w:rsid w:val="009053CC"/>
    <w:rsid w:val="0090789B"/>
    <w:rsid w:val="00914A6D"/>
    <w:rsid w:val="00916FFC"/>
    <w:rsid w:val="009325D1"/>
    <w:rsid w:val="009418F2"/>
    <w:rsid w:val="009472D9"/>
    <w:rsid w:val="009726E1"/>
    <w:rsid w:val="009919ED"/>
    <w:rsid w:val="009D1DB2"/>
    <w:rsid w:val="009E1309"/>
    <w:rsid w:val="009F28D1"/>
    <w:rsid w:val="009F59AC"/>
    <w:rsid w:val="00A2393D"/>
    <w:rsid w:val="00A62B56"/>
    <w:rsid w:val="00A6644D"/>
    <w:rsid w:val="00A958F6"/>
    <w:rsid w:val="00AA1C6D"/>
    <w:rsid w:val="00AA70AF"/>
    <w:rsid w:val="00AB1B17"/>
    <w:rsid w:val="00AB4AEF"/>
    <w:rsid w:val="00AC4978"/>
    <w:rsid w:val="00AD1FA3"/>
    <w:rsid w:val="00AF5EAA"/>
    <w:rsid w:val="00B120D1"/>
    <w:rsid w:val="00B371BD"/>
    <w:rsid w:val="00B4170B"/>
    <w:rsid w:val="00B57769"/>
    <w:rsid w:val="00B61360"/>
    <w:rsid w:val="00B61AB6"/>
    <w:rsid w:val="00B728EF"/>
    <w:rsid w:val="00B738C1"/>
    <w:rsid w:val="00B81BD5"/>
    <w:rsid w:val="00B84884"/>
    <w:rsid w:val="00BE433D"/>
    <w:rsid w:val="00BE6872"/>
    <w:rsid w:val="00C12EB2"/>
    <w:rsid w:val="00C17B5D"/>
    <w:rsid w:val="00C21C4D"/>
    <w:rsid w:val="00C343E3"/>
    <w:rsid w:val="00C519E0"/>
    <w:rsid w:val="00C52F3D"/>
    <w:rsid w:val="00C532C6"/>
    <w:rsid w:val="00C60773"/>
    <w:rsid w:val="00C87675"/>
    <w:rsid w:val="00C87903"/>
    <w:rsid w:val="00C932D1"/>
    <w:rsid w:val="00CA2218"/>
    <w:rsid w:val="00CB3C00"/>
    <w:rsid w:val="00CB6865"/>
    <w:rsid w:val="00CC3512"/>
    <w:rsid w:val="00CC6F61"/>
    <w:rsid w:val="00CE04CC"/>
    <w:rsid w:val="00CE1E12"/>
    <w:rsid w:val="00D17830"/>
    <w:rsid w:val="00D21D43"/>
    <w:rsid w:val="00D23247"/>
    <w:rsid w:val="00D27844"/>
    <w:rsid w:val="00D37C2F"/>
    <w:rsid w:val="00D63A62"/>
    <w:rsid w:val="00D64AB7"/>
    <w:rsid w:val="00D75DB4"/>
    <w:rsid w:val="00D80D1C"/>
    <w:rsid w:val="00DB1366"/>
    <w:rsid w:val="00DD77D7"/>
    <w:rsid w:val="00DE2569"/>
    <w:rsid w:val="00E061EA"/>
    <w:rsid w:val="00E10057"/>
    <w:rsid w:val="00E1323B"/>
    <w:rsid w:val="00E1494B"/>
    <w:rsid w:val="00E17268"/>
    <w:rsid w:val="00E22299"/>
    <w:rsid w:val="00E30ECE"/>
    <w:rsid w:val="00E328EC"/>
    <w:rsid w:val="00E345E1"/>
    <w:rsid w:val="00E3732E"/>
    <w:rsid w:val="00E52CEF"/>
    <w:rsid w:val="00E73A91"/>
    <w:rsid w:val="00E85601"/>
    <w:rsid w:val="00E91739"/>
    <w:rsid w:val="00E92B25"/>
    <w:rsid w:val="00E971D3"/>
    <w:rsid w:val="00ED0964"/>
    <w:rsid w:val="00ED5C4C"/>
    <w:rsid w:val="00EE6B41"/>
    <w:rsid w:val="00F016B1"/>
    <w:rsid w:val="00F02F62"/>
    <w:rsid w:val="00F104E5"/>
    <w:rsid w:val="00F20B45"/>
    <w:rsid w:val="00F42F42"/>
    <w:rsid w:val="00F46B77"/>
    <w:rsid w:val="00F8175A"/>
    <w:rsid w:val="00F83D43"/>
    <w:rsid w:val="00F92D50"/>
    <w:rsid w:val="00F951C8"/>
    <w:rsid w:val="00FA40B8"/>
    <w:rsid w:val="00FB498A"/>
    <w:rsid w:val="00FB6B5A"/>
    <w:rsid w:val="00FD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7C391A"/>
  <w15:docId w15:val="{42F92D2D-E325-4109-BC21-B707F2A5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23B"/>
    <w:rPr>
      <w:rFonts w:ascii="Arial" w:hAnsi="Arial" w:cs="Arial" w:hint="default"/>
      <w:color w:val="0000FF"/>
      <w:u w:val="single"/>
    </w:rPr>
  </w:style>
  <w:style w:type="paragraph" w:customStyle="1" w:styleId="body">
    <w:name w:val="body"/>
    <w:basedOn w:val="Normal"/>
    <w:rsid w:val="00E1323B"/>
    <w:pPr>
      <w:autoSpaceDE w:val="0"/>
      <w:autoSpaceDN w:val="0"/>
      <w:spacing w:after="160" w:line="300" w:lineRule="atLeast"/>
    </w:pPr>
    <w:rPr>
      <w:rFonts w:ascii="Arial" w:eastAsia="Times New Roman" w:hAnsi="Arial" w:cs="Arial"/>
      <w:sz w:val="24"/>
      <w:szCs w:val="24"/>
    </w:rPr>
  </w:style>
  <w:style w:type="character" w:customStyle="1" w:styleId="glossaryterm">
    <w:name w:val="glossaryterm"/>
    <w:basedOn w:val="DefaultParagraphFont"/>
    <w:rsid w:val="00E1323B"/>
    <w:rPr>
      <w:rFonts w:ascii="Arial" w:hAnsi="Arial" w:cs="Arial" w:hint="default"/>
      <w:color w:val="008080"/>
    </w:rPr>
  </w:style>
  <w:style w:type="paragraph" w:styleId="ListParagraph">
    <w:name w:val="List Paragraph"/>
    <w:basedOn w:val="Normal"/>
    <w:uiPriority w:val="34"/>
    <w:qFormat/>
    <w:rsid w:val="000A5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3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2D1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32D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42D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42DE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C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CE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1726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0ADD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gov.sharepoint.com/:w:/r/sites/DHS-OIM/_layouts/15/Doc.aspx?sourcedoc=%7BB8377D84-781A-44E4-B3C5-B119CEDB92EF%7D&amp;file=LTC%20Procedural%20Desk%20Guide.docx&amp;action=default&amp;mobileredirect=true&amp;DefaultItemOpen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agov.sharepoint.com/sites/DHS-OIM/Desk%20Guides/HCBS%20Procedural%20Desk%20Guide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AC849-9266-43AE-AF26-619733EC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507</Words>
  <Characters>2893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dpwuser</dc:creator>
  <cp:lastModifiedBy>Garcia, Maria (DHS)</cp:lastModifiedBy>
  <cp:revision>2</cp:revision>
  <cp:lastPrinted>2014-04-30T18:27:00Z</cp:lastPrinted>
  <dcterms:created xsi:type="dcterms:W3CDTF">2024-06-26T19:47:00Z</dcterms:created>
  <dcterms:modified xsi:type="dcterms:W3CDTF">2024-06-26T19:47:00Z</dcterms:modified>
</cp:coreProperties>
</file>